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DE60" w14:textId="77777777" w:rsidR="00812D4E" w:rsidRDefault="0027744B" w:rsidP="00681C07">
      <w:pPr>
        <w:pStyle w:val="LTASub-heading1"/>
        <w:spacing w:before="0"/>
      </w:pPr>
      <w:r>
        <w:t>TEMPLATE</w:t>
      </w:r>
      <w:r w:rsidR="00360794">
        <w:t xml:space="preserve"> </w:t>
      </w:r>
      <w:r w:rsidR="00A27382">
        <w:t xml:space="preserve">league </w:t>
      </w:r>
      <w:r w:rsidR="00B52B19">
        <w:t xml:space="preserve">DELIVERY PLAN – COVID-19 </w:t>
      </w:r>
    </w:p>
    <w:p w14:paraId="38BCF885" w14:textId="77777777" w:rsidR="0027744B" w:rsidRDefault="00681C07" w:rsidP="0027744B">
      <w:pPr>
        <w:rPr>
          <w:rFonts w:cs="Arial"/>
        </w:rPr>
      </w:pPr>
      <w:r>
        <w:rPr>
          <w:rFonts w:cs="Arial"/>
        </w:rPr>
        <w:t xml:space="preserve">The Government </w:t>
      </w:r>
      <w:r>
        <w:rPr>
          <w:rFonts w:eastAsia="Times New Roman" w:cs="Arial"/>
          <w:color w:val="000000"/>
          <w:szCs w:val="22"/>
          <w:lang w:eastAsia="en-GB"/>
        </w:rPr>
        <w:t xml:space="preserve">has published detailed </w:t>
      </w:r>
      <w:hyperlink r:id="rId7" w:anchor="organising-outdoor-sport-and-physical-activity-events" w:history="1">
        <w:r w:rsidRPr="00E4453C">
          <w:rPr>
            <w:rStyle w:val="Hyperlink"/>
            <w:rFonts w:eastAsia="Times New Roman" w:cs="Arial"/>
            <w:szCs w:val="22"/>
            <w:lang w:eastAsia="en-GB"/>
          </w:rPr>
          <w:t>guidance on organising outdoor sport and physical activity participation events</w:t>
        </w:r>
      </w:hyperlink>
      <w:r>
        <w:rPr>
          <w:rFonts w:cs="Arial"/>
        </w:rPr>
        <w:t xml:space="preserve">, which can help </w:t>
      </w:r>
      <w:r w:rsidR="00B2706B">
        <w:rPr>
          <w:rFonts w:cs="Arial"/>
        </w:rPr>
        <w:t xml:space="preserve">venues, </w:t>
      </w:r>
      <w:r w:rsidR="008C3638">
        <w:rPr>
          <w:rFonts w:cs="Arial"/>
        </w:rPr>
        <w:t>officials</w:t>
      </w:r>
      <w:r w:rsidR="00B2706B">
        <w:rPr>
          <w:rFonts w:cs="Arial"/>
        </w:rPr>
        <w:t xml:space="preserve"> and organisers </w:t>
      </w:r>
      <w:r>
        <w:rPr>
          <w:rFonts w:cs="Arial"/>
        </w:rPr>
        <w:t xml:space="preserve">facilitate </w:t>
      </w:r>
      <w:r w:rsidR="00077C0D">
        <w:rPr>
          <w:rFonts w:cs="Arial"/>
        </w:rPr>
        <w:t xml:space="preserve">events such as </w:t>
      </w:r>
      <w:r>
        <w:rPr>
          <w:rFonts w:cs="Arial"/>
        </w:rPr>
        <w:t>recreational competitions</w:t>
      </w:r>
      <w:r w:rsidR="008C3638">
        <w:rPr>
          <w:rFonts w:cs="Arial"/>
        </w:rPr>
        <w:t xml:space="preserve">, social </w:t>
      </w:r>
      <w:r w:rsidR="00572D2F">
        <w:rPr>
          <w:rFonts w:cs="Arial"/>
        </w:rPr>
        <w:t xml:space="preserve">play </w:t>
      </w:r>
      <w:r w:rsidR="008C3638">
        <w:rPr>
          <w:rFonts w:cs="Arial"/>
        </w:rPr>
        <w:t>events</w:t>
      </w:r>
      <w:r w:rsidR="00A27382">
        <w:rPr>
          <w:rFonts w:cs="Arial"/>
        </w:rPr>
        <w:t xml:space="preserve">, </w:t>
      </w:r>
      <w:r>
        <w:rPr>
          <w:rFonts w:cs="Arial"/>
        </w:rPr>
        <w:t>club nights</w:t>
      </w:r>
      <w:r w:rsidR="00A27382">
        <w:rPr>
          <w:rFonts w:cs="Arial"/>
        </w:rPr>
        <w:t xml:space="preserve"> and leagues</w:t>
      </w:r>
      <w:r>
        <w:rPr>
          <w:rFonts w:cs="Arial"/>
        </w:rPr>
        <w:t xml:space="preserve">. The LTA recommends that in line with this guidance, </w:t>
      </w:r>
      <w:r w:rsidR="0027744B" w:rsidRPr="001B5238">
        <w:rPr>
          <w:rFonts w:cs="Arial"/>
        </w:rPr>
        <w:t xml:space="preserve">all </w:t>
      </w:r>
      <w:r w:rsidR="00A27382">
        <w:rPr>
          <w:rFonts w:cs="Arial"/>
        </w:rPr>
        <w:t>league</w:t>
      </w:r>
      <w:r w:rsidR="0027744B">
        <w:rPr>
          <w:rFonts w:cs="Arial"/>
        </w:rPr>
        <w:t xml:space="preserve"> organisers</w:t>
      </w:r>
      <w:r w:rsidR="0027744B" w:rsidRPr="001B5238">
        <w:rPr>
          <w:rFonts w:cs="Arial"/>
        </w:rPr>
        <w:t xml:space="preserve"> complete a </w:t>
      </w:r>
      <w:r>
        <w:rPr>
          <w:rFonts w:cs="Arial"/>
        </w:rPr>
        <w:t>COVID</w:t>
      </w:r>
      <w:r w:rsidR="0027744B">
        <w:rPr>
          <w:rFonts w:cs="Arial"/>
        </w:rPr>
        <w:t xml:space="preserve">-19 delivery plan using the latest LTA </w:t>
      </w:r>
      <w:r>
        <w:rPr>
          <w:rFonts w:cs="Arial"/>
        </w:rPr>
        <w:t>COVID</w:t>
      </w:r>
      <w:r w:rsidR="0027744B">
        <w:rPr>
          <w:rFonts w:cs="Arial"/>
        </w:rPr>
        <w:t>-19 Guidelines</w:t>
      </w:r>
      <w:r w:rsidR="0027744B" w:rsidRPr="001B5238">
        <w:rPr>
          <w:rFonts w:cs="Arial"/>
        </w:rPr>
        <w:t xml:space="preserve">. </w:t>
      </w:r>
      <w:r w:rsidR="00E339E3">
        <w:rPr>
          <w:rFonts w:cs="Arial"/>
        </w:rPr>
        <w:t>Look at how these</w:t>
      </w:r>
      <w:r w:rsidR="0027744B" w:rsidRPr="001B5238">
        <w:rPr>
          <w:rFonts w:cs="Arial"/>
        </w:rPr>
        <w:t xml:space="preserve"> might apply to your </w:t>
      </w:r>
      <w:r w:rsidR="0027744B">
        <w:rPr>
          <w:rFonts w:cs="Arial"/>
        </w:rPr>
        <w:t>event</w:t>
      </w:r>
      <w:r w:rsidR="0027744B" w:rsidRPr="001B5238">
        <w:rPr>
          <w:rFonts w:cs="Arial"/>
        </w:rPr>
        <w:t xml:space="preserve"> and complete the table </w:t>
      </w:r>
      <w:r w:rsidR="0027744B">
        <w:rPr>
          <w:rFonts w:cs="Arial"/>
        </w:rPr>
        <w:t>below</w:t>
      </w:r>
      <w:r w:rsidR="0027744B" w:rsidRPr="001B5238">
        <w:rPr>
          <w:rFonts w:cs="Arial"/>
        </w:rPr>
        <w:t xml:space="preserve">. This template is to be used as a guide to </w:t>
      </w:r>
      <w:r w:rsidR="00A27382">
        <w:rPr>
          <w:rFonts w:cs="Arial"/>
        </w:rPr>
        <w:t>help deliver</w:t>
      </w:r>
      <w:r w:rsidR="00BE5339">
        <w:rPr>
          <w:rFonts w:cs="Arial"/>
        </w:rPr>
        <w:t xml:space="preserve"> your </w:t>
      </w:r>
      <w:r w:rsidR="00A27382">
        <w:rPr>
          <w:rFonts w:cs="Arial"/>
        </w:rPr>
        <w:t>leagues</w:t>
      </w:r>
      <w:r w:rsidR="00BE5339">
        <w:rPr>
          <w:rFonts w:cs="Arial"/>
        </w:rPr>
        <w:t>.</w:t>
      </w:r>
    </w:p>
    <w:p w14:paraId="4496D285" w14:textId="77777777" w:rsidR="00BE5339" w:rsidRPr="001B5238" w:rsidRDefault="00BE5339" w:rsidP="0027744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68"/>
        <w:gridCol w:w="5245"/>
      </w:tblGrid>
      <w:tr w:rsidR="00852544" w14:paraId="48B6D00A" w14:textId="77777777" w:rsidTr="00852544">
        <w:tc>
          <w:tcPr>
            <w:tcW w:w="3369" w:type="dxa"/>
          </w:tcPr>
          <w:p w14:paraId="691707BD" w14:textId="77777777" w:rsidR="00852544" w:rsidRPr="00852544" w:rsidRDefault="00852544" w:rsidP="00A27382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 xml:space="preserve">Name of </w:t>
            </w:r>
            <w:r w:rsidR="00A27382">
              <w:rPr>
                <w:b/>
                <w:sz w:val="20"/>
                <w:szCs w:val="20"/>
              </w:rPr>
              <w:t>league</w:t>
            </w:r>
            <w:r w:rsidRPr="00852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3390CC2E" w14:textId="61F30D44" w:rsidR="00852544" w:rsidRPr="00852544" w:rsidRDefault="00F83C55" w:rsidP="003D0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Babolat</w:t>
            </w:r>
            <w:proofErr w:type="spellEnd"/>
            <w:r>
              <w:rPr>
                <w:sz w:val="20"/>
                <w:szCs w:val="20"/>
              </w:rPr>
              <w:t xml:space="preserve"> Winter Leagues 2020/21</w:t>
            </w:r>
          </w:p>
        </w:tc>
        <w:tc>
          <w:tcPr>
            <w:tcW w:w="2268" w:type="dxa"/>
          </w:tcPr>
          <w:p w14:paraId="54F5D77A" w14:textId="77777777" w:rsidR="00852544" w:rsidRPr="00852544" w:rsidRDefault="00A27382" w:rsidP="003D0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/ Area</w:t>
            </w:r>
          </w:p>
        </w:tc>
        <w:tc>
          <w:tcPr>
            <w:tcW w:w="5245" w:type="dxa"/>
          </w:tcPr>
          <w:p w14:paraId="76584A32" w14:textId="7149CE32" w:rsidR="00852544" w:rsidRP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Oxfordshire</w:t>
            </w:r>
          </w:p>
          <w:p w14:paraId="34234911" w14:textId="77777777" w:rsidR="00852544" w:rsidRPr="00852544" w:rsidRDefault="00852544" w:rsidP="003D0DE7">
            <w:pPr>
              <w:rPr>
                <w:sz w:val="20"/>
                <w:szCs w:val="20"/>
              </w:rPr>
            </w:pPr>
          </w:p>
        </w:tc>
      </w:tr>
      <w:tr w:rsidR="00852544" w14:paraId="18890409" w14:textId="77777777" w:rsidTr="00852544">
        <w:tc>
          <w:tcPr>
            <w:tcW w:w="3369" w:type="dxa"/>
          </w:tcPr>
          <w:p w14:paraId="2857F8AF" w14:textId="77777777" w:rsidR="00852544" w:rsidRPr="00852544" w:rsidRDefault="00852544" w:rsidP="003D0DE7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 xml:space="preserve">Description of </w:t>
            </w:r>
            <w:r w:rsidR="00A27382">
              <w:rPr>
                <w:b/>
                <w:sz w:val="20"/>
                <w:szCs w:val="20"/>
              </w:rPr>
              <w:t>league</w:t>
            </w:r>
          </w:p>
          <w:p w14:paraId="51EC1E60" w14:textId="77777777" w:rsidR="00852544" w:rsidRPr="00852544" w:rsidRDefault="00852544" w:rsidP="00A27382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>(</w:t>
            </w:r>
            <w:r w:rsidR="00FE1651" w:rsidRPr="00852544">
              <w:rPr>
                <w:b/>
                <w:sz w:val="20"/>
                <w:szCs w:val="20"/>
              </w:rPr>
              <w:t>e.g.</w:t>
            </w:r>
            <w:r w:rsidRPr="00852544">
              <w:rPr>
                <w:b/>
                <w:sz w:val="20"/>
                <w:szCs w:val="20"/>
              </w:rPr>
              <w:t xml:space="preserve"> </w:t>
            </w:r>
            <w:r w:rsidR="00A27382">
              <w:rPr>
                <w:b/>
                <w:sz w:val="20"/>
                <w:szCs w:val="20"/>
              </w:rPr>
              <w:t>Men’s, Women’s, Mixed</w:t>
            </w:r>
            <w:r w:rsidRPr="008525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6A5629AE" w14:textId="6CC879BC" w:rsidR="00852544" w:rsidRP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and Women’s</w:t>
            </w:r>
          </w:p>
        </w:tc>
        <w:tc>
          <w:tcPr>
            <w:tcW w:w="2268" w:type="dxa"/>
          </w:tcPr>
          <w:p w14:paraId="0689EC21" w14:textId="77777777" w:rsidR="00852544" w:rsidRPr="00852544" w:rsidRDefault="00852544" w:rsidP="00A27382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 xml:space="preserve">Size of the </w:t>
            </w:r>
            <w:r w:rsidR="00A27382"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5245" w:type="dxa"/>
          </w:tcPr>
          <w:p w14:paraId="2730F172" w14:textId="77777777" w:rsid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= 89 teams in 8 Divisions</w:t>
            </w:r>
          </w:p>
          <w:p w14:paraId="1A369F16" w14:textId="77777777" w:rsidR="00F83C55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= 78 teams in 7 Divisions</w:t>
            </w:r>
          </w:p>
          <w:p w14:paraId="74346163" w14:textId="63A4392F" w:rsidR="007C1B33" w:rsidRPr="00852544" w:rsidRDefault="007C1B33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team consists of four players (two pairs)</w:t>
            </w:r>
          </w:p>
        </w:tc>
      </w:tr>
      <w:tr w:rsidR="00F269A5" w14:paraId="669BA2D2" w14:textId="77777777" w:rsidTr="00852544">
        <w:tc>
          <w:tcPr>
            <w:tcW w:w="3369" w:type="dxa"/>
          </w:tcPr>
          <w:p w14:paraId="5B6C847E" w14:textId="77777777" w:rsidR="00F269A5" w:rsidRPr="00852544" w:rsidRDefault="00A27382" w:rsidP="00F26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&amp; End </w:t>
            </w:r>
            <w:r w:rsidR="00F269A5" w:rsidRPr="00852544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252" w:type="dxa"/>
          </w:tcPr>
          <w:p w14:paraId="6D23AA97" w14:textId="3DF81BF0" w:rsidR="00F269A5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 26/27 September 2020</w:t>
            </w:r>
          </w:p>
          <w:p w14:paraId="2B73BC2D" w14:textId="7BFC3B43" w:rsidR="00F83C55" w:rsidRP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Finish: 13/14 March 2021</w:t>
            </w:r>
          </w:p>
          <w:p w14:paraId="0C545460" w14:textId="77777777" w:rsidR="00F269A5" w:rsidRPr="00852544" w:rsidRDefault="00F269A5" w:rsidP="003D0D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35A18C" w14:textId="77777777" w:rsidR="00F269A5" w:rsidRPr="00852544" w:rsidRDefault="00F269A5" w:rsidP="003D0DE7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>Timings</w:t>
            </w:r>
          </w:p>
        </w:tc>
        <w:tc>
          <w:tcPr>
            <w:tcW w:w="5245" w:type="dxa"/>
          </w:tcPr>
          <w:p w14:paraId="168333F4" w14:textId="6091C496" w:rsidR="00F269A5" w:rsidRP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played either morning or afternoon on Saturdays and Sundays</w:t>
            </w:r>
          </w:p>
          <w:p w14:paraId="426CE50B" w14:textId="77777777" w:rsidR="00F269A5" w:rsidRPr="00852544" w:rsidRDefault="00F269A5" w:rsidP="003D0DE7">
            <w:pPr>
              <w:rPr>
                <w:sz w:val="20"/>
                <w:szCs w:val="20"/>
              </w:rPr>
            </w:pPr>
          </w:p>
        </w:tc>
      </w:tr>
      <w:tr w:rsidR="00852544" w14:paraId="365370AB" w14:textId="77777777" w:rsidTr="00852544">
        <w:tc>
          <w:tcPr>
            <w:tcW w:w="3369" w:type="dxa"/>
          </w:tcPr>
          <w:p w14:paraId="7BC24B98" w14:textId="77777777" w:rsidR="00852544" w:rsidRPr="00852544" w:rsidRDefault="00A27382" w:rsidP="003D0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 organiser</w:t>
            </w:r>
          </w:p>
        </w:tc>
        <w:tc>
          <w:tcPr>
            <w:tcW w:w="4252" w:type="dxa"/>
          </w:tcPr>
          <w:p w14:paraId="67DB0957" w14:textId="185E79BB" w:rsidR="00852544" w:rsidRPr="00852544" w:rsidRDefault="00F83C55" w:rsidP="003D0DE7">
            <w:pPr>
              <w:rPr>
                <w:sz w:val="20"/>
                <w:szCs w:val="20"/>
              </w:rPr>
            </w:pPr>
            <w:r w:rsidRPr="00F83C55">
              <w:rPr>
                <w:sz w:val="20"/>
                <w:szCs w:val="20"/>
              </w:rPr>
              <w:t>Steve Winyard</w:t>
            </w:r>
            <w:r w:rsidR="002F200C">
              <w:rPr>
                <w:sz w:val="20"/>
                <w:szCs w:val="20"/>
              </w:rPr>
              <w:t>/Leagues Committee</w:t>
            </w:r>
          </w:p>
        </w:tc>
        <w:tc>
          <w:tcPr>
            <w:tcW w:w="2268" w:type="dxa"/>
          </w:tcPr>
          <w:p w14:paraId="59024A03" w14:textId="77777777" w:rsidR="00852544" w:rsidRPr="00852544" w:rsidRDefault="00A27382" w:rsidP="003D0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league staff</w:t>
            </w:r>
          </w:p>
          <w:p w14:paraId="47DE3526" w14:textId="77777777" w:rsidR="00852544" w:rsidRPr="00852544" w:rsidRDefault="00852544" w:rsidP="003D0DE7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2A9C766" w14:textId="51541CCE" w:rsidR="00852544" w:rsidRPr="00852544" w:rsidRDefault="00F83C55" w:rsidP="003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2B19" w14:paraId="6EA45A24" w14:textId="77777777" w:rsidTr="00CB57AA">
        <w:trPr>
          <w:trHeight w:val="1060"/>
        </w:trPr>
        <w:tc>
          <w:tcPr>
            <w:tcW w:w="3369" w:type="dxa"/>
          </w:tcPr>
          <w:p w14:paraId="3A161714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 xml:space="preserve">Before the </w:t>
            </w:r>
            <w:r w:rsidR="00A27382">
              <w:rPr>
                <w:b/>
                <w:sz w:val="20"/>
                <w:szCs w:val="20"/>
              </w:rPr>
              <w:t>league</w:t>
            </w:r>
          </w:p>
          <w:p w14:paraId="7C8034A0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</w:p>
          <w:p w14:paraId="5D6FE093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</w:p>
          <w:p w14:paraId="28074A62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</w:p>
          <w:p w14:paraId="3ABD696B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</w:p>
          <w:p w14:paraId="0F820338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14:paraId="09C22A8D" w14:textId="77777777" w:rsidR="00BE5339" w:rsidRPr="00360794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will you design the </w:t>
            </w:r>
            <w:r w:rsidR="00A27382">
              <w:rPr>
                <w:i/>
                <w:sz w:val="20"/>
                <w:szCs w:val="20"/>
              </w:rPr>
              <w:t>league</w:t>
            </w:r>
            <w:r>
              <w:rPr>
                <w:i/>
                <w:sz w:val="20"/>
                <w:szCs w:val="20"/>
              </w:rPr>
              <w:t xml:space="preserve"> timetable to ensure social distancing is maintained at all times? </w:t>
            </w:r>
          </w:p>
          <w:p w14:paraId="78E72754" w14:textId="77777777" w:rsidR="00B52B19" w:rsidRPr="00333DA8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you put in place to minimise encounters between people?</w:t>
            </w:r>
          </w:p>
          <w:p w14:paraId="4E569ACC" w14:textId="77777777" w:rsidR="00CB57AA" w:rsidRDefault="00333DA8" w:rsidP="00A273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will you brief </w:t>
            </w:r>
            <w:r w:rsidR="00A27382">
              <w:rPr>
                <w:i/>
                <w:sz w:val="20"/>
                <w:szCs w:val="20"/>
              </w:rPr>
              <w:t>team captains</w:t>
            </w:r>
            <w:r>
              <w:rPr>
                <w:i/>
                <w:sz w:val="20"/>
                <w:szCs w:val="20"/>
              </w:rPr>
              <w:t xml:space="preserve"> in advance of the event? </w:t>
            </w:r>
          </w:p>
          <w:p w14:paraId="74710F85" w14:textId="0491955C" w:rsidR="00F83C55" w:rsidRDefault="00F83C55" w:rsidP="00A2738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Matches are spread out over six months and clubs </w:t>
            </w:r>
            <w:proofErr w:type="gramStart"/>
            <w:r>
              <w:rPr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iCs/>
                <w:sz w:val="20"/>
                <w:szCs w:val="20"/>
              </w:rPr>
              <w:t xml:space="preserve"> re-arrange dates to ensure social distancing </w:t>
            </w:r>
            <w:r w:rsidR="002C56A9">
              <w:rPr>
                <w:iCs/>
                <w:sz w:val="20"/>
                <w:szCs w:val="20"/>
              </w:rPr>
              <w:t>can be</w:t>
            </w:r>
            <w:r>
              <w:rPr>
                <w:iCs/>
                <w:sz w:val="20"/>
                <w:szCs w:val="20"/>
              </w:rPr>
              <w:t xml:space="preserve"> maintained. Exact arrangements will be down to clubs and depend upon</w:t>
            </w:r>
            <w:r w:rsidR="002C56A9">
              <w:rPr>
                <w:iCs/>
                <w:sz w:val="20"/>
                <w:szCs w:val="20"/>
              </w:rPr>
              <w:t xml:space="preserve"> the</w:t>
            </w:r>
            <w:r>
              <w:rPr>
                <w:iCs/>
                <w:sz w:val="20"/>
                <w:szCs w:val="20"/>
              </w:rPr>
              <w:t xml:space="preserve"> number of teams and courts</w:t>
            </w:r>
            <w:r w:rsidR="002C56A9">
              <w:rPr>
                <w:iCs/>
                <w:sz w:val="20"/>
                <w:szCs w:val="20"/>
              </w:rPr>
              <w:t xml:space="preserve"> available. Clubs will have completed their own risk assessment before the start of the season.</w:t>
            </w:r>
          </w:p>
          <w:p w14:paraId="601BA311" w14:textId="1F4BA94E" w:rsidR="007C1B33" w:rsidRDefault="007C1B33" w:rsidP="00A2738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There is regular communication with Fixtures Secretaries via e-mail and direct with captains via League Planner</w:t>
            </w:r>
          </w:p>
          <w:p w14:paraId="441E5216" w14:textId="2BC42D98" w:rsidR="00F83C55" w:rsidRDefault="00F83C55" w:rsidP="00A2738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Clubs are asked to follow LTA and Government guidance</w:t>
            </w:r>
            <w:r w:rsidR="002C56A9">
              <w:rPr>
                <w:iCs/>
                <w:sz w:val="20"/>
                <w:szCs w:val="20"/>
              </w:rPr>
              <w:t>.</w:t>
            </w:r>
          </w:p>
          <w:p w14:paraId="0057A8A0" w14:textId="54F62857" w:rsidR="007C1B33" w:rsidRPr="007C1B33" w:rsidRDefault="007C1B33" w:rsidP="007C1B33">
            <w:pPr>
              <w:pStyle w:val="Default"/>
              <w:rPr>
                <w:sz w:val="20"/>
                <w:szCs w:val="20"/>
              </w:rPr>
            </w:pPr>
            <w:r w:rsidRPr="007C1B33">
              <w:rPr>
                <w:sz w:val="20"/>
                <w:szCs w:val="20"/>
              </w:rPr>
              <w:t xml:space="preserve">Anyone attending a league fixture in any capacity should undergo a pre-attendance self-assessment for any COVID-19 symptoms using the information on the NHS website before leaving home. No-one should leave home to participate in tennis if they, or someone they live with, has symptoms of COVID -19 (A high temperature - A new, continuous cough - A loss of, or change to, their sense of smell or taste) </w:t>
            </w:r>
          </w:p>
          <w:p w14:paraId="56DCC5FD" w14:textId="0D23A6D7" w:rsidR="00F83C55" w:rsidRPr="00F83C55" w:rsidRDefault="002C56A9" w:rsidP="00A2738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  <w:r w:rsidR="00F83C5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B52B19" w14:paraId="31F032EE" w14:textId="77777777" w:rsidTr="00852544">
        <w:tc>
          <w:tcPr>
            <w:tcW w:w="3369" w:type="dxa"/>
          </w:tcPr>
          <w:p w14:paraId="3223121D" w14:textId="77777777" w:rsidR="00B52B19" w:rsidRPr="00852544" w:rsidRDefault="00B52B19" w:rsidP="00A27382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t xml:space="preserve">During the </w:t>
            </w:r>
            <w:r w:rsidR="00A27382"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11765" w:type="dxa"/>
            <w:gridSpan w:val="3"/>
          </w:tcPr>
          <w:p w14:paraId="067A9FE8" w14:textId="77777777" w:rsidR="00BE5339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will you ensure that participants </w:t>
            </w:r>
            <w:r w:rsidR="00CB57AA">
              <w:rPr>
                <w:i/>
                <w:sz w:val="20"/>
                <w:szCs w:val="20"/>
              </w:rPr>
              <w:t xml:space="preserve">and parents/guardians </w:t>
            </w:r>
            <w:r>
              <w:rPr>
                <w:i/>
                <w:sz w:val="20"/>
                <w:szCs w:val="20"/>
              </w:rPr>
              <w:t xml:space="preserve">can remain socially distanced at all times? </w:t>
            </w:r>
          </w:p>
          <w:p w14:paraId="295531B1" w14:textId="77777777" w:rsidR="00B52B19" w:rsidRPr="00333DA8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limit shared use of equipment (i.e. rackets</w:t>
            </w:r>
            <w:r w:rsidR="00CB57A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)?</w:t>
            </w:r>
          </w:p>
          <w:p w14:paraId="446025CC" w14:textId="77777777" w:rsidR="00B52B19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precautions will you put in place to ensure good hand hygiene from participants?</w:t>
            </w:r>
          </w:p>
          <w:p w14:paraId="3796DC6D" w14:textId="03AB362F" w:rsidR="00CB57AA" w:rsidRDefault="00CB57AA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any rain delays?</w:t>
            </w:r>
          </w:p>
          <w:p w14:paraId="5A4A4B51" w14:textId="22DC81A4" w:rsidR="00F83C55" w:rsidRDefault="00F83C55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Clubs and teams are</w:t>
            </w:r>
            <w:r w:rsidR="00E17B15">
              <w:rPr>
                <w:iCs/>
                <w:sz w:val="20"/>
                <w:szCs w:val="20"/>
              </w:rPr>
              <w:t xml:space="preserve"> reminded of and</w:t>
            </w:r>
            <w:r>
              <w:rPr>
                <w:iCs/>
                <w:sz w:val="20"/>
                <w:szCs w:val="20"/>
              </w:rPr>
              <w:t xml:space="preserve"> asked to observe LTA and Government Guidance for</w:t>
            </w:r>
            <w:r w:rsidR="00906B0E">
              <w:rPr>
                <w:iCs/>
                <w:sz w:val="20"/>
                <w:szCs w:val="20"/>
              </w:rPr>
              <w:t xml:space="preserve"> travel and</w:t>
            </w:r>
            <w:r>
              <w:rPr>
                <w:iCs/>
                <w:sz w:val="20"/>
                <w:szCs w:val="20"/>
              </w:rPr>
              <w:t xml:space="preserve"> maintaining social dist</w:t>
            </w:r>
            <w:r w:rsidR="002C56A9">
              <w:rPr>
                <w:iCs/>
                <w:sz w:val="20"/>
                <w:szCs w:val="20"/>
              </w:rPr>
              <w:t>ancing.</w:t>
            </w:r>
          </w:p>
          <w:p w14:paraId="74B63063" w14:textId="67F9EBAA" w:rsidR="002C56A9" w:rsidRDefault="002C56A9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League players as a rule do not share equipment and will typically have at least one spare racket.</w:t>
            </w:r>
          </w:p>
          <w:p w14:paraId="5A23ACC7" w14:textId="77777777" w:rsidR="002C56A9" w:rsidRDefault="002C56A9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Clubs are asked to follow LTA Guidance and have hand sanitiser readily available on site.</w:t>
            </w:r>
          </w:p>
          <w:p w14:paraId="79D2C51A" w14:textId="2E32B21E" w:rsidR="002C56A9" w:rsidRPr="00F83C55" w:rsidRDefault="002C56A9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Players will be asked to follow LTA Guidance in the case of rain delays. In most cases this will involve taking shelter in a car</w:t>
            </w:r>
            <w:r w:rsidR="00E17B15">
              <w:rPr>
                <w:iCs/>
                <w:sz w:val="20"/>
                <w:szCs w:val="20"/>
              </w:rPr>
              <w:t xml:space="preserve"> or under an umbrella.</w:t>
            </w:r>
            <w:r>
              <w:rPr>
                <w:iCs/>
                <w:sz w:val="20"/>
                <w:szCs w:val="20"/>
              </w:rPr>
              <w:t xml:space="preserve">  </w:t>
            </w:r>
          </w:p>
          <w:p w14:paraId="70C7896E" w14:textId="77777777" w:rsidR="00B52B19" w:rsidRPr="00852544" w:rsidRDefault="00B52B19" w:rsidP="003D0DE7">
            <w:pPr>
              <w:rPr>
                <w:sz w:val="20"/>
                <w:szCs w:val="20"/>
              </w:rPr>
            </w:pPr>
          </w:p>
        </w:tc>
      </w:tr>
      <w:tr w:rsidR="00B52B19" w14:paraId="47EA5008" w14:textId="77777777" w:rsidTr="00852544">
        <w:tc>
          <w:tcPr>
            <w:tcW w:w="3369" w:type="dxa"/>
            <w:tcBorders>
              <w:bottom w:val="single" w:sz="4" w:space="0" w:color="auto"/>
            </w:tcBorders>
          </w:tcPr>
          <w:p w14:paraId="66DE9293" w14:textId="77777777" w:rsidR="00B52B19" w:rsidRPr="00852544" w:rsidRDefault="00B52B19" w:rsidP="003D0DE7">
            <w:pPr>
              <w:rPr>
                <w:b/>
                <w:sz w:val="20"/>
                <w:szCs w:val="20"/>
              </w:rPr>
            </w:pPr>
            <w:r w:rsidRPr="00852544">
              <w:rPr>
                <w:b/>
                <w:sz w:val="20"/>
                <w:szCs w:val="20"/>
              </w:rPr>
              <w:lastRenderedPageBreak/>
              <w:t>After the event</w:t>
            </w:r>
          </w:p>
        </w:tc>
        <w:tc>
          <w:tcPr>
            <w:tcW w:w="11765" w:type="dxa"/>
            <w:gridSpan w:val="3"/>
            <w:tcBorders>
              <w:bottom w:val="single" w:sz="4" w:space="0" w:color="auto"/>
            </w:tcBorders>
          </w:tcPr>
          <w:p w14:paraId="72CF8456" w14:textId="1E14C3BE" w:rsidR="002C56A9" w:rsidRDefault="00333DA8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ensure that participants can safely leave the site in a socially distanced way?</w:t>
            </w:r>
          </w:p>
          <w:p w14:paraId="2C0834C9" w14:textId="1DA6041A" w:rsidR="00852544" w:rsidRDefault="00EC5D6E" w:rsidP="003D0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prevent large groups from congregating after the event?</w:t>
            </w:r>
          </w:p>
          <w:p w14:paraId="352DFD74" w14:textId="77777777" w:rsidR="002C56A9" w:rsidRDefault="002C56A9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Clubs and captains will be reminded of the importance of maintaining a safe social distance at the end of a match. </w:t>
            </w:r>
          </w:p>
          <w:p w14:paraId="04F81624" w14:textId="744F30DA" w:rsidR="002C56A9" w:rsidRPr="002C56A9" w:rsidRDefault="002C56A9" w:rsidP="003D0D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Teas/lunches will not be provided after matches. At the end of play the away team will leave the club and following Government guidance there will be no socialising. </w:t>
            </w:r>
          </w:p>
          <w:p w14:paraId="51DDE014" w14:textId="77777777" w:rsidR="00B52B19" w:rsidRPr="00852544" w:rsidRDefault="00B52B19" w:rsidP="003D0DE7">
            <w:pPr>
              <w:rPr>
                <w:sz w:val="20"/>
                <w:szCs w:val="20"/>
              </w:rPr>
            </w:pPr>
          </w:p>
        </w:tc>
      </w:tr>
      <w:tr w:rsidR="00852544" w14:paraId="0C5E430C" w14:textId="77777777" w:rsidTr="00852544">
        <w:tc>
          <w:tcPr>
            <w:tcW w:w="15134" w:type="dxa"/>
            <w:gridSpan w:val="4"/>
            <w:tcBorders>
              <w:left w:val="nil"/>
              <w:bottom w:val="nil"/>
              <w:right w:val="nil"/>
            </w:tcBorders>
          </w:tcPr>
          <w:p w14:paraId="030D2AE9" w14:textId="77777777" w:rsidR="00852544" w:rsidRPr="00852544" w:rsidRDefault="00852544" w:rsidP="008525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Consider the following in your delivery plan:</w:t>
            </w:r>
          </w:p>
          <w:p w14:paraId="2B33E49E" w14:textId="77777777" w:rsidR="00852544" w:rsidRPr="00F269A5" w:rsidRDefault="00852544" w:rsidP="00852544">
            <w:pPr>
              <w:numPr>
                <w:ilvl w:val="0"/>
                <w:numId w:val="21"/>
              </w:numPr>
              <w:shd w:val="clear" w:color="auto" w:fill="FFFFFF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F269A5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Droplet transmission and aerosol generation: The risk associated with each action in an activity based on duration and proximity of participants</w:t>
            </w:r>
          </w:p>
          <w:p w14:paraId="00D64F2E" w14:textId="77777777" w:rsidR="00852544" w:rsidRPr="00F269A5" w:rsidRDefault="00852544" w:rsidP="00852544">
            <w:pPr>
              <w:numPr>
                <w:ilvl w:val="0"/>
                <w:numId w:val="21"/>
              </w:numPr>
              <w:shd w:val="clear" w:color="auto" w:fill="FFFFFF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F269A5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Fomite transmission: The risk associated with the handling and transfer of equipment in the activity</w:t>
            </w:r>
          </w:p>
          <w:p w14:paraId="38A850A8" w14:textId="77777777" w:rsidR="00852544" w:rsidRDefault="00852544" w:rsidP="00852544">
            <w:pPr>
              <w:numPr>
                <w:ilvl w:val="0"/>
                <w:numId w:val="21"/>
              </w:numPr>
              <w:shd w:val="clear" w:color="auto" w:fill="FFFFFF"/>
              <w:ind w:left="300"/>
              <w:rPr>
                <w:sz w:val="20"/>
                <w:szCs w:val="20"/>
              </w:rPr>
            </w:pPr>
            <w:r w:rsidRPr="00F269A5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Population: The number of participants likely to take part in the proposed activity plus known risk factors of participants with underlying health conditions or high-risk groups, who wish to participate</w:t>
            </w:r>
          </w:p>
          <w:p w14:paraId="2C2B18AC" w14:textId="77777777" w:rsidR="00852544" w:rsidRPr="00852544" w:rsidRDefault="00852544" w:rsidP="00A27382">
            <w:pPr>
              <w:numPr>
                <w:ilvl w:val="0"/>
                <w:numId w:val="21"/>
              </w:numPr>
              <w:shd w:val="clear" w:color="auto" w:fill="FFFFFF"/>
              <w:ind w:left="300"/>
              <w:rPr>
                <w:sz w:val="20"/>
                <w:szCs w:val="20"/>
              </w:rPr>
            </w:pPr>
            <w:r w:rsidRPr="00852544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Venue risk assessment: </w:t>
            </w:r>
            <w:r w:rsidR="00A27382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Venues to complete the relevant risk assessment</w:t>
            </w:r>
          </w:p>
        </w:tc>
      </w:tr>
    </w:tbl>
    <w:p w14:paraId="173EDE8E" w14:textId="77777777" w:rsidR="00B52B19" w:rsidRPr="00681C07" w:rsidRDefault="00B52B19" w:rsidP="00B52B19">
      <w:pPr>
        <w:pStyle w:val="LTAChapterHeading"/>
        <w:rPr>
          <w:sz w:val="6"/>
        </w:rPr>
      </w:pPr>
    </w:p>
    <w:sectPr w:rsidR="00B52B19" w:rsidRPr="00681C07" w:rsidSect="00852544">
      <w:headerReference w:type="default" r:id="rId8"/>
      <w:footerReference w:type="default" r:id="rId9"/>
      <w:footerReference w:type="first" r:id="rId10"/>
      <w:pgSz w:w="16838" w:h="11906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A91A" w14:textId="77777777" w:rsidR="00610218" w:rsidRDefault="00610218">
      <w:r>
        <w:separator/>
      </w:r>
    </w:p>
  </w:endnote>
  <w:endnote w:type="continuationSeparator" w:id="0">
    <w:p w14:paraId="65BD4E51" w14:textId="77777777" w:rsidR="00610218" w:rsidRDefault="006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5BCDE323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1A08B9D5" w14:textId="77777777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</w:p>
      </w:tc>
    </w:tr>
  </w:tbl>
  <w:p w14:paraId="048FAFDA" w14:textId="77777777" w:rsidR="00867D2A" w:rsidRDefault="00867D2A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603D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861A804" wp14:editId="2577599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09544" w14:textId="77777777" w:rsidR="00610218" w:rsidRDefault="00610218">
      <w:r>
        <w:separator/>
      </w:r>
    </w:p>
  </w:footnote>
  <w:footnote w:type="continuationSeparator" w:id="0">
    <w:p w14:paraId="444FA38E" w14:textId="77777777" w:rsidR="00610218" w:rsidRDefault="0061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9023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793F17"/>
    <w:multiLevelType w:val="multilevel"/>
    <w:tmpl w:val="49F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8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19"/>
    <w:rsid w:val="000610E5"/>
    <w:rsid w:val="00061673"/>
    <w:rsid w:val="00077C0D"/>
    <w:rsid w:val="0008173E"/>
    <w:rsid w:val="0009384D"/>
    <w:rsid w:val="000D1C03"/>
    <w:rsid w:val="00100050"/>
    <w:rsid w:val="001732F1"/>
    <w:rsid w:val="0027744B"/>
    <w:rsid w:val="002C56A9"/>
    <w:rsid w:val="002F200C"/>
    <w:rsid w:val="00333DA8"/>
    <w:rsid w:val="00360794"/>
    <w:rsid w:val="003B352C"/>
    <w:rsid w:val="003E2EF3"/>
    <w:rsid w:val="003F34DD"/>
    <w:rsid w:val="004624C8"/>
    <w:rsid w:val="00477FE5"/>
    <w:rsid w:val="00572D2F"/>
    <w:rsid w:val="005819DC"/>
    <w:rsid w:val="005A0FF9"/>
    <w:rsid w:val="00610218"/>
    <w:rsid w:val="006520B8"/>
    <w:rsid w:val="00681C07"/>
    <w:rsid w:val="00692C43"/>
    <w:rsid w:val="006A667C"/>
    <w:rsid w:val="006E1A59"/>
    <w:rsid w:val="006F52E4"/>
    <w:rsid w:val="00721A88"/>
    <w:rsid w:val="007318C9"/>
    <w:rsid w:val="007C1B33"/>
    <w:rsid w:val="00812D4E"/>
    <w:rsid w:val="00852544"/>
    <w:rsid w:val="00856391"/>
    <w:rsid w:val="00867D2A"/>
    <w:rsid w:val="008953D9"/>
    <w:rsid w:val="00896E7A"/>
    <w:rsid w:val="008C1811"/>
    <w:rsid w:val="008C3638"/>
    <w:rsid w:val="008C41DA"/>
    <w:rsid w:val="00906B0E"/>
    <w:rsid w:val="009E463A"/>
    <w:rsid w:val="00A27382"/>
    <w:rsid w:val="00AA7905"/>
    <w:rsid w:val="00AC13ED"/>
    <w:rsid w:val="00B2706B"/>
    <w:rsid w:val="00B31782"/>
    <w:rsid w:val="00B52B19"/>
    <w:rsid w:val="00B82C2F"/>
    <w:rsid w:val="00B85D1C"/>
    <w:rsid w:val="00BE5339"/>
    <w:rsid w:val="00C07D86"/>
    <w:rsid w:val="00C20C8B"/>
    <w:rsid w:val="00C63F27"/>
    <w:rsid w:val="00C930EB"/>
    <w:rsid w:val="00C943B7"/>
    <w:rsid w:val="00CB15F8"/>
    <w:rsid w:val="00CB57AA"/>
    <w:rsid w:val="00CB70B0"/>
    <w:rsid w:val="00CB7722"/>
    <w:rsid w:val="00CE3632"/>
    <w:rsid w:val="00CF4A69"/>
    <w:rsid w:val="00CF576A"/>
    <w:rsid w:val="00D06D4F"/>
    <w:rsid w:val="00D82488"/>
    <w:rsid w:val="00D97342"/>
    <w:rsid w:val="00DA6A2A"/>
    <w:rsid w:val="00DB3C54"/>
    <w:rsid w:val="00E17B15"/>
    <w:rsid w:val="00E339E3"/>
    <w:rsid w:val="00E65DDC"/>
    <w:rsid w:val="00EC5D6E"/>
    <w:rsid w:val="00F055ED"/>
    <w:rsid w:val="00F148D5"/>
    <w:rsid w:val="00F269A5"/>
    <w:rsid w:val="00F509A7"/>
    <w:rsid w:val="00F75935"/>
    <w:rsid w:val="00F83C55"/>
    <w:rsid w:val="00FA6041"/>
    <w:rsid w:val="00FB3DB2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996F7"/>
  <w14:defaultImageDpi w14:val="300"/>
  <w15:docId w15:val="{F30F2C11-CA62-41A4-8CF0-F8058D0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681C07"/>
    <w:rPr>
      <w:color w:val="0000FF"/>
      <w:u w:val="single"/>
    </w:rPr>
  </w:style>
  <w:style w:type="paragraph" w:customStyle="1" w:styleId="Default">
    <w:name w:val="Default"/>
    <w:rsid w:val="007C1B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HP Inc.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Keith Carder</dc:creator>
  <cp:lastModifiedBy>steve winyard</cp:lastModifiedBy>
  <cp:revision>4</cp:revision>
  <cp:lastPrinted>1901-01-01T00:00:00Z</cp:lastPrinted>
  <dcterms:created xsi:type="dcterms:W3CDTF">2020-09-22T13:47:00Z</dcterms:created>
  <dcterms:modified xsi:type="dcterms:W3CDTF">2020-09-22T14:50:00Z</dcterms:modified>
</cp:coreProperties>
</file>